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1B" w:rsidRPr="0056361B" w:rsidRDefault="0056361B" w:rsidP="00A81398">
      <w:pPr>
        <w:rPr>
          <w:sz w:val="24"/>
          <w:szCs w:val="24"/>
        </w:rPr>
      </w:pPr>
      <w:r>
        <w:rPr>
          <w:noProof/>
          <w:lang w:eastAsia="en-AU"/>
        </w:rPr>
        <w:pict>
          <v:shapetype id="_x0000_t202" coordsize="21600,21600" o:spt="202" path="m,l,21600r21600,l21600,xe">
            <v:stroke joinstyle="miter"/>
            <v:path gradientshapeok="t" o:connecttype="rect"/>
          </v:shapetype>
          <v:shape id="_x0000_s1026" type="#_x0000_t202" style="position:absolute;margin-left:603.2pt;margin-top:0;width:165.55pt;height:42.75pt;z-index:251658240" strokecolor="black [3213]">
            <v:textbox style="mso-next-textbox:#_x0000_s1026">
              <w:txbxContent>
                <w:p w:rsidR="0056361B" w:rsidRPr="005F4135" w:rsidRDefault="0056361B" w:rsidP="0056361B">
                  <w:pPr>
                    <w:jc w:val="right"/>
                    <w:rPr>
                      <w:rFonts w:ascii="Century Gothic" w:hAnsi="Century Gothic"/>
                      <w:b/>
                      <w:caps/>
                      <w:color w:val="1F497D"/>
                      <w:sz w:val="16"/>
                      <w:szCs w:val="16"/>
                    </w:rPr>
                  </w:pPr>
                  <w:r w:rsidRPr="005F4135">
                    <w:rPr>
                      <w:rFonts w:ascii="Century Gothic" w:hAnsi="Century Gothic"/>
                      <w:b/>
                      <w:caps/>
                      <w:color w:val="1F497D"/>
                      <w:sz w:val="16"/>
                      <w:szCs w:val="16"/>
                    </w:rPr>
                    <w:t>Child Side PLAYGROUP AND School follows child protection and protective behaviour processes</w:t>
                  </w:r>
                </w:p>
                <w:p w:rsidR="0056361B" w:rsidRDefault="0056361B" w:rsidP="0056361B"/>
              </w:txbxContent>
            </v:textbox>
          </v:shape>
        </w:pict>
      </w:r>
      <w:r>
        <w:rPr>
          <w:noProof/>
          <w:lang w:eastAsia="en-AU"/>
        </w:rPr>
        <w:drawing>
          <wp:inline distT="0" distB="0" distL="0" distR="0">
            <wp:extent cx="1504950" cy="590550"/>
            <wp:effectExtent l="19050" t="0" r="0" b="0"/>
            <wp:docPr id="1" name="Picture 1" descr="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hite"/>
                    <pic:cNvPicPr>
                      <a:picLocks noChangeAspect="1" noChangeArrowheads="1"/>
                    </pic:cNvPicPr>
                  </pic:nvPicPr>
                  <pic:blipFill>
                    <a:blip r:embed="rId4" cstate="print"/>
                    <a:srcRect/>
                    <a:stretch>
                      <a:fillRect/>
                    </a:stretch>
                  </pic:blipFill>
                  <pic:spPr bwMode="auto">
                    <a:xfrm>
                      <a:off x="0" y="0"/>
                      <a:ext cx="1504950" cy="590550"/>
                    </a:xfrm>
                    <a:prstGeom prst="rect">
                      <a:avLst/>
                    </a:prstGeom>
                    <a:noFill/>
                    <a:ln w="9525">
                      <a:noFill/>
                      <a:miter lim="800000"/>
                      <a:headEnd/>
                      <a:tailEnd/>
                    </a:ln>
                  </pic:spPr>
                </pic:pic>
              </a:graphicData>
            </a:graphic>
          </wp:inline>
        </w:drawing>
      </w:r>
    </w:p>
    <w:p w:rsidR="0056361B" w:rsidRPr="0056361B" w:rsidRDefault="0056361B" w:rsidP="00A81398">
      <w:pPr>
        <w:rPr>
          <w:sz w:val="24"/>
          <w:szCs w:val="24"/>
        </w:rPr>
      </w:pPr>
    </w:p>
    <w:p w:rsidR="00A81398" w:rsidRPr="0056361B" w:rsidRDefault="00A81398" w:rsidP="00A81398">
      <w:pPr>
        <w:rPr>
          <w:sz w:val="44"/>
          <w:szCs w:val="44"/>
        </w:rPr>
      </w:pPr>
      <w:r w:rsidRPr="0056361B">
        <w:rPr>
          <w:sz w:val="44"/>
          <w:szCs w:val="44"/>
        </w:rPr>
        <w:t>Our Child Side vision and curriculum delivery underpin all we do:</w:t>
      </w:r>
    </w:p>
    <w:tbl>
      <w:tblPr>
        <w:tblStyle w:val="TableGrid"/>
        <w:tblW w:w="15559" w:type="dxa"/>
        <w:tblLook w:val="04A0"/>
      </w:tblPr>
      <w:tblGrid>
        <w:gridCol w:w="15559"/>
      </w:tblGrid>
      <w:tr w:rsidR="00A81398" w:rsidTr="0056361B">
        <w:tc>
          <w:tcPr>
            <w:tcW w:w="15559" w:type="dxa"/>
          </w:tcPr>
          <w:p w:rsidR="00A81398" w:rsidRPr="0056361B" w:rsidRDefault="00A81398" w:rsidP="00A81398">
            <w:pPr>
              <w:rPr>
                <w:b/>
                <w:bCs/>
                <w:sz w:val="32"/>
                <w:szCs w:val="32"/>
              </w:rPr>
            </w:pPr>
            <w:r w:rsidRPr="0056361B">
              <w:rPr>
                <w:b/>
                <w:bCs/>
                <w:sz w:val="32"/>
                <w:szCs w:val="32"/>
              </w:rPr>
              <w:t>Our Vision Statement:</w:t>
            </w:r>
          </w:p>
          <w:p w:rsidR="00A81398" w:rsidRDefault="00A81398" w:rsidP="00A81398">
            <w:pPr>
              <w:rPr>
                <w:b/>
                <w:bCs/>
                <w:sz w:val="36"/>
                <w:szCs w:val="36"/>
              </w:rPr>
            </w:pPr>
            <w:r w:rsidRPr="0056361B">
              <w:rPr>
                <w:sz w:val="32"/>
                <w:szCs w:val="32"/>
              </w:rPr>
              <w:t>“</w:t>
            </w:r>
            <w:r w:rsidRPr="0056361B">
              <w:rPr>
                <w:b/>
                <w:i/>
                <w:color w:val="00B050"/>
                <w:sz w:val="32"/>
                <w:szCs w:val="32"/>
              </w:rPr>
              <w:t>REIEA and Child Side School have a vision for a just and civil society that values our shared humanity, fosters strong democratic communities, recognises the uniqueness of each individual, and appreciates diversity... We recognise that all children have a right to be heard, to be respected, and to feel a sense of belonging to their family, school and community. We see this as a foundation for becoming responsible citizens of the world.”</w:t>
            </w:r>
            <w:r w:rsidRPr="0056361B">
              <w:rPr>
                <w:color w:val="00B050"/>
                <w:sz w:val="32"/>
                <w:szCs w:val="32"/>
              </w:rPr>
              <w:t xml:space="preserve"> </w:t>
            </w:r>
            <w:r w:rsidRPr="0056361B">
              <w:rPr>
                <w:sz w:val="32"/>
                <w:szCs w:val="32"/>
              </w:rPr>
              <w:t>REIEA- Reggio Emelia Information Exchange Australia</w:t>
            </w:r>
            <w:r>
              <w:rPr>
                <w:sz w:val="36"/>
                <w:szCs w:val="36"/>
              </w:rPr>
              <w:t xml:space="preserve"> </w:t>
            </w:r>
          </w:p>
        </w:tc>
      </w:tr>
      <w:tr w:rsidR="00A81398" w:rsidTr="0056361B">
        <w:tc>
          <w:tcPr>
            <w:tcW w:w="15559" w:type="dxa"/>
          </w:tcPr>
          <w:p w:rsidR="00A81398" w:rsidRPr="0056361B" w:rsidRDefault="00A81398" w:rsidP="00A81398">
            <w:pPr>
              <w:rPr>
                <w:sz w:val="32"/>
                <w:szCs w:val="32"/>
              </w:rPr>
            </w:pPr>
            <w:r w:rsidRPr="0056361B">
              <w:rPr>
                <w:b/>
                <w:bCs/>
                <w:sz w:val="32"/>
                <w:szCs w:val="32"/>
              </w:rPr>
              <w:t>Curriculum delivery at Child Side supports Goal 2 of the Melbourne Declaration on Educational Goals for Young Australians</w:t>
            </w:r>
            <w:r w:rsidRPr="0056361B">
              <w:rPr>
                <w:sz w:val="32"/>
                <w:szCs w:val="32"/>
              </w:rPr>
              <w:t xml:space="preserve"> (Commonwealth of Australia, 2009, p. 5)</w:t>
            </w:r>
          </w:p>
          <w:p w:rsidR="00A81398" w:rsidRPr="0056361B" w:rsidRDefault="00A81398" w:rsidP="00A81398">
            <w:pPr>
              <w:rPr>
                <w:b/>
                <w:i/>
                <w:color w:val="00B050"/>
                <w:sz w:val="32"/>
                <w:szCs w:val="32"/>
              </w:rPr>
            </w:pPr>
            <w:r w:rsidRPr="0056361B">
              <w:rPr>
                <w:b/>
                <w:i/>
                <w:color w:val="00B050"/>
                <w:sz w:val="32"/>
                <w:szCs w:val="32"/>
              </w:rPr>
              <w:t xml:space="preserve">All young Australians become: </w:t>
            </w:r>
          </w:p>
          <w:p w:rsidR="00A81398" w:rsidRPr="0056361B" w:rsidRDefault="00A81398" w:rsidP="00A81398">
            <w:pPr>
              <w:rPr>
                <w:b/>
                <w:i/>
                <w:color w:val="00B050"/>
                <w:sz w:val="32"/>
                <w:szCs w:val="32"/>
              </w:rPr>
            </w:pPr>
            <w:r w:rsidRPr="0056361B">
              <w:rPr>
                <w:b/>
                <w:i/>
                <w:color w:val="00B050"/>
                <w:sz w:val="32"/>
                <w:szCs w:val="32"/>
              </w:rPr>
              <w:t xml:space="preserve">•             successful learners </w:t>
            </w:r>
          </w:p>
          <w:p w:rsidR="00A81398" w:rsidRPr="0056361B" w:rsidRDefault="00A81398" w:rsidP="00A81398">
            <w:pPr>
              <w:rPr>
                <w:b/>
                <w:i/>
                <w:color w:val="00B050"/>
                <w:sz w:val="32"/>
                <w:szCs w:val="32"/>
              </w:rPr>
            </w:pPr>
            <w:r w:rsidRPr="0056361B">
              <w:rPr>
                <w:b/>
                <w:i/>
                <w:color w:val="00B050"/>
                <w:sz w:val="32"/>
                <w:szCs w:val="32"/>
              </w:rPr>
              <w:t xml:space="preserve">•             confident and creative individuals </w:t>
            </w:r>
          </w:p>
          <w:p w:rsidR="00A81398" w:rsidRPr="0056361B" w:rsidRDefault="00A81398" w:rsidP="00A81398">
            <w:pPr>
              <w:rPr>
                <w:b/>
                <w:bCs/>
                <w:sz w:val="32"/>
                <w:szCs w:val="32"/>
              </w:rPr>
            </w:pPr>
            <w:r w:rsidRPr="0056361B">
              <w:rPr>
                <w:b/>
                <w:i/>
                <w:color w:val="00B050"/>
                <w:sz w:val="32"/>
                <w:szCs w:val="32"/>
              </w:rPr>
              <w:t>•             active and informed citizens</w:t>
            </w:r>
          </w:p>
        </w:tc>
      </w:tr>
      <w:tr w:rsidR="00A81398" w:rsidTr="0056361B">
        <w:tc>
          <w:tcPr>
            <w:tcW w:w="15559" w:type="dxa"/>
          </w:tcPr>
          <w:p w:rsidR="00A81398" w:rsidRPr="0056361B" w:rsidRDefault="00A81398" w:rsidP="00A81398">
            <w:pPr>
              <w:rPr>
                <w:b/>
                <w:bCs/>
                <w:sz w:val="32"/>
                <w:szCs w:val="32"/>
              </w:rPr>
            </w:pPr>
            <w:r w:rsidRPr="0056361B">
              <w:rPr>
                <w:b/>
                <w:bCs/>
                <w:sz w:val="32"/>
                <w:szCs w:val="32"/>
              </w:rPr>
              <w:t>The Child Side rudder:</w:t>
            </w:r>
          </w:p>
          <w:p w:rsidR="00A81398" w:rsidRPr="0056361B" w:rsidRDefault="00A81398" w:rsidP="00A81398">
            <w:pPr>
              <w:rPr>
                <w:sz w:val="32"/>
                <w:szCs w:val="32"/>
              </w:rPr>
            </w:pPr>
            <w:r w:rsidRPr="0056361B">
              <w:rPr>
                <w:b/>
                <w:i/>
                <w:color w:val="00B050"/>
                <w:sz w:val="32"/>
                <w:szCs w:val="32"/>
              </w:rPr>
              <w:t>“The purpose of life is life with a purpose.”</w:t>
            </w:r>
            <w:r w:rsidRPr="0056361B">
              <w:rPr>
                <w:sz w:val="32"/>
                <w:szCs w:val="32"/>
              </w:rPr>
              <w:t>- Dr Louise Porter.</w:t>
            </w:r>
          </w:p>
          <w:p w:rsidR="00A223BB" w:rsidRPr="0056361B" w:rsidRDefault="00A81398" w:rsidP="00A223BB">
            <w:pPr>
              <w:shd w:val="clear" w:color="auto" w:fill="FFFFFF"/>
              <w:spacing w:after="120"/>
              <w:outlineLvl w:val="2"/>
              <w:rPr>
                <w:rFonts w:ascii="Arial" w:eastAsia="Times New Roman" w:hAnsi="Arial" w:cs="Arial"/>
                <w:bCs/>
                <w:sz w:val="32"/>
                <w:szCs w:val="32"/>
                <w:lang w:eastAsia="en-AU"/>
              </w:rPr>
            </w:pPr>
            <w:r w:rsidRPr="0056361B">
              <w:rPr>
                <w:rFonts w:ascii="Arial" w:eastAsia="Times New Roman" w:hAnsi="Arial" w:cs="Arial"/>
                <w:b/>
                <w:bCs/>
                <w:i/>
                <w:color w:val="7030A0"/>
                <w:sz w:val="32"/>
                <w:szCs w:val="32"/>
                <w:lang w:eastAsia="en-AU"/>
              </w:rPr>
              <w:t>“All children learn, grow and master life skills at differing rates. There is no competition in raising children.”</w:t>
            </w:r>
            <w:r w:rsidRPr="0056361B">
              <w:rPr>
                <w:rFonts w:ascii="Arial" w:hAnsi="Arial" w:cs="Arial"/>
                <w:color w:val="7030A0"/>
                <w:sz w:val="32"/>
                <w:szCs w:val="32"/>
                <w:shd w:val="clear" w:color="auto" w:fill="FFFFFF"/>
              </w:rPr>
              <w:t xml:space="preserve"> </w:t>
            </w:r>
            <w:r w:rsidR="00A223BB" w:rsidRPr="0056361B">
              <w:rPr>
                <w:rFonts w:ascii="Arial" w:eastAsia="Times New Roman" w:hAnsi="Arial" w:cs="Arial"/>
                <w:bCs/>
                <w:sz w:val="32"/>
                <w:szCs w:val="32"/>
                <w:lang w:eastAsia="en-AU"/>
              </w:rPr>
              <w:t>Maggie Dent</w:t>
            </w:r>
          </w:p>
          <w:p w:rsidR="00A81398" w:rsidRPr="0056361B" w:rsidRDefault="00A81398" w:rsidP="00A81398">
            <w:pPr>
              <w:shd w:val="clear" w:color="auto" w:fill="FFFFFF"/>
              <w:spacing w:after="120"/>
              <w:outlineLvl w:val="2"/>
              <w:rPr>
                <w:rFonts w:ascii="Arial" w:hAnsi="Arial" w:cs="Arial"/>
                <w:b/>
                <w:i/>
                <w:color w:val="7030A0"/>
                <w:sz w:val="32"/>
                <w:szCs w:val="32"/>
                <w:shd w:val="clear" w:color="auto" w:fill="FFFFFF"/>
              </w:rPr>
            </w:pPr>
            <w:r w:rsidRPr="0056361B">
              <w:rPr>
                <w:rFonts w:ascii="Arial" w:hAnsi="Arial" w:cs="Arial"/>
                <w:b/>
                <w:i/>
                <w:color w:val="7030A0"/>
                <w:sz w:val="32"/>
                <w:szCs w:val="32"/>
                <w:shd w:val="clear" w:color="auto" w:fill="FFFFFF"/>
              </w:rPr>
              <w:t>“Resilience refers to the ability to successfully manage life and adapt to change and stressful events in healthy and constructive ways. It is about the capacity to bounce back from positive and negative life experiences. To develop emotional and psychological buoyancy in childhood gives our kids a better prospect of being able to thrive as adults.”</w:t>
            </w:r>
          </w:p>
          <w:p w:rsidR="00A81398" w:rsidRPr="0056361B" w:rsidRDefault="00A81398" w:rsidP="00A223BB">
            <w:pPr>
              <w:shd w:val="clear" w:color="auto" w:fill="FFFFFF"/>
              <w:spacing w:after="120"/>
              <w:outlineLvl w:val="2"/>
              <w:rPr>
                <w:b/>
                <w:bCs/>
                <w:sz w:val="32"/>
                <w:szCs w:val="32"/>
              </w:rPr>
            </w:pPr>
            <w:r w:rsidRPr="0056361B">
              <w:rPr>
                <w:rFonts w:ascii="Arial" w:eastAsia="Times New Roman" w:hAnsi="Arial" w:cs="Arial"/>
                <w:bCs/>
                <w:sz w:val="32"/>
                <w:szCs w:val="32"/>
                <w:lang w:eastAsia="en-AU"/>
              </w:rPr>
              <w:t>Maggie Dent</w:t>
            </w:r>
          </w:p>
        </w:tc>
      </w:tr>
    </w:tbl>
    <w:p w:rsidR="00734F4D" w:rsidRPr="0056361B" w:rsidRDefault="00734F4D" w:rsidP="0056361B">
      <w:pPr>
        <w:ind w:left="142"/>
        <w:rPr>
          <w:sz w:val="24"/>
          <w:szCs w:val="24"/>
        </w:rPr>
      </w:pPr>
    </w:p>
    <w:sectPr w:rsidR="00734F4D" w:rsidRPr="0056361B" w:rsidSect="0056361B">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1398"/>
    <w:rsid w:val="0031520F"/>
    <w:rsid w:val="0056361B"/>
    <w:rsid w:val="00734F4D"/>
    <w:rsid w:val="007D1F2A"/>
    <w:rsid w:val="00A223BB"/>
    <w:rsid w:val="00A81398"/>
    <w:rsid w:val="00C630C3"/>
    <w:rsid w:val="00D03BCD"/>
    <w:rsid w:val="00E97A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61B"/>
    <w:rPr>
      <w:rFonts w:ascii="Tahoma" w:hAnsi="Tahoma" w:cs="Tahoma"/>
      <w:sz w:val="16"/>
      <w:szCs w:val="16"/>
    </w:rPr>
  </w:style>
  <w:style w:type="character" w:customStyle="1" w:styleId="BalloonTextChar">
    <w:name w:val="Balloon Text Char"/>
    <w:basedOn w:val="DefaultParagraphFont"/>
    <w:link w:val="BalloonText"/>
    <w:uiPriority w:val="99"/>
    <w:semiHidden/>
    <w:rsid w:val="00563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168515">
      <w:bodyDiv w:val="1"/>
      <w:marLeft w:val="0"/>
      <w:marRight w:val="0"/>
      <w:marTop w:val="0"/>
      <w:marBottom w:val="0"/>
      <w:divBdr>
        <w:top w:val="none" w:sz="0" w:space="0" w:color="auto"/>
        <w:left w:val="none" w:sz="0" w:space="0" w:color="auto"/>
        <w:bottom w:val="none" w:sz="0" w:space="0" w:color="auto"/>
        <w:right w:val="none" w:sz="0" w:space="0" w:color="auto"/>
      </w:divBdr>
    </w:div>
    <w:div w:id="18280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O'Connell</dc:creator>
  <cp:lastModifiedBy>Child Side 09</cp:lastModifiedBy>
  <cp:revision>2</cp:revision>
  <dcterms:created xsi:type="dcterms:W3CDTF">2019-03-13T06:51:00Z</dcterms:created>
  <dcterms:modified xsi:type="dcterms:W3CDTF">2019-03-13T06:51:00Z</dcterms:modified>
</cp:coreProperties>
</file>